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BC3E83">
      <w:r>
        <w:rPr>
          <w:noProof/>
          <w:lang w:eastAsia="en-GB"/>
        </w:rPr>
        <mc:AlternateContent>
          <mc:Choice Requires="wps">
            <w:drawing>
              <wp:anchor distT="45720" distB="45720" distL="114300" distR="114300" simplePos="0" relativeHeight="251660288" behindDoc="0" locked="0" layoutInCell="1" allowOverlap="1">
                <wp:simplePos x="0" y="0"/>
                <wp:positionH relativeFrom="page">
                  <wp:align>right</wp:align>
                </wp:positionH>
                <wp:positionV relativeFrom="paragraph">
                  <wp:posOffset>0</wp:posOffset>
                </wp:positionV>
                <wp:extent cx="112776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74320"/>
                        </a:xfrm>
                        <a:prstGeom prst="rect">
                          <a:avLst/>
                        </a:prstGeom>
                        <a:solidFill>
                          <a:srgbClr val="FFFFFF"/>
                        </a:solidFill>
                        <a:ln w="9525">
                          <a:noFill/>
                          <a:miter lim="800000"/>
                          <a:headEnd/>
                          <a:tailEnd/>
                        </a:ln>
                      </wps:spPr>
                      <wps:txbx>
                        <w:txbxContent>
                          <w:p w:rsidR="00BC3E83" w:rsidRPr="00BC3E83" w:rsidRDefault="00BC3E83">
                            <w:pPr>
                              <w:rPr>
                                <w:sz w:val="24"/>
                                <w:szCs w:val="24"/>
                              </w:rPr>
                            </w:pPr>
                            <w:bookmarkStart w:id="0" w:name="_GoBack"/>
                            <w:r w:rsidRPr="00BC3E83">
                              <w:rPr>
                                <w:sz w:val="24"/>
                                <w:szCs w:val="24"/>
                              </w:rPr>
                              <w:t>Appendix B</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pt;margin-top:0;width:88.8pt;height:21.6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hlIgIAACQ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" stroked="f">
                <v:textbox>
                  <w:txbxContent>
                    <w:p w:rsidR="00BC3E83" w:rsidRPr="00BC3E83" w:rsidRDefault="00BC3E83">
                      <w:pPr>
                        <w:rPr>
                          <w:sz w:val="24"/>
                          <w:szCs w:val="24"/>
                        </w:rPr>
                      </w:pPr>
                      <w:bookmarkStart w:id="1" w:name="_GoBack"/>
                      <w:r w:rsidRPr="00BC3E83">
                        <w:rPr>
                          <w:sz w:val="24"/>
                          <w:szCs w:val="24"/>
                        </w:rPr>
                        <w:t>Appendix B</w:t>
                      </w:r>
                      <w:bookmarkEnd w:id="1"/>
                    </w:p>
                  </w:txbxContent>
                </v:textbox>
                <w10:wrap type="square" anchorx="page"/>
              </v:shape>
            </w:pict>
          </mc:Fallback>
        </mc:AlternateContent>
      </w:r>
      <w:r w:rsidR="007E3FD0">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279F3" w:rsidRPr="004572F3">
                              <w:rPr>
                                <w:rFonts w:ascii="Corbel" w:hAnsi="Corbel"/>
                                <w:b/>
                                <w:sz w:val="40"/>
                                <w:szCs w:val="40"/>
                              </w:rPr>
                              <w:t xml:space="preserve">Property </w:t>
                            </w:r>
                            <w:r w:rsidR="00661EA4" w:rsidRPr="004572F3">
                              <w:rPr>
                                <w:rFonts w:ascii="Corbel" w:hAnsi="Corbel"/>
                                <w:b/>
                                <w:sz w:val="40"/>
                                <w:szCs w:val="40"/>
                              </w:rPr>
                              <w:t xml:space="preserve">Strategy </w:t>
                            </w:r>
                            <w:r w:rsidR="005279F3" w:rsidRPr="004572F3">
                              <w:rPr>
                                <w:rFonts w:ascii="Corbel" w:hAnsi="Corbel"/>
                                <w:b/>
                                <w:sz w:val="40"/>
                                <w:szCs w:val="40"/>
                              </w:rPr>
                              <w:t>(</w:t>
                            </w:r>
                            <w:r w:rsidR="00661EA4" w:rsidRPr="004572F3">
                              <w:rPr>
                                <w:rFonts w:ascii="Corbel" w:hAnsi="Corbel"/>
                                <w:b/>
                                <w:sz w:val="40"/>
                                <w:szCs w:val="40"/>
                              </w:rPr>
                              <w:t xml:space="preserve">Neighbourhood Centres </w:t>
                            </w:r>
                            <w:r w:rsidR="005279F3" w:rsidRPr="004572F3">
                              <w:rPr>
                                <w:rFonts w:ascii="Corbel" w:hAnsi="Corbel"/>
                                <w:b/>
                                <w:sz w:val="40"/>
                                <w:szCs w:val="40"/>
                              </w:rPr>
                              <w:t>)</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851203" w:rsidRPr="002F35BA" w:rsidRDefault="00851203" w:rsidP="00993F64">
                      <w:pPr>
                        <w:outlineLvl w:val="0"/>
                        <w:rPr>
                          <w:rFonts w:ascii="Corbel" w:hAnsi="Corbel"/>
                          <w:b/>
                          <w:sz w:val="44"/>
                        </w:rPr>
                      </w:pPr>
                      <w:r w:rsidRPr="002F35BA">
                        <w:rPr>
                          <w:rFonts w:ascii="Corbel" w:hAnsi="Corbel"/>
                          <w:b/>
                          <w:sz w:val="44"/>
                        </w:rPr>
                        <w:t>Section 4</w:t>
                      </w:r>
                    </w:p>
                    <w:p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279F3" w:rsidRPr="004572F3">
                        <w:rPr>
                          <w:rFonts w:ascii="Corbel" w:hAnsi="Corbel"/>
                          <w:b/>
                          <w:sz w:val="40"/>
                          <w:szCs w:val="40"/>
                        </w:rPr>
                        <w:t xml:space="preserve">Property </w:t>
                      </w:r>
                      <w:r w:rsidR="00661EA4" w:rsidRPr="004572F3">
                        <w:rPr>
                          <w:rFonts w:ascii="Corbel" w:hAnsi="Corbel"/>
                          <w:b/>
                          <w:sz w:val="40"/>
                          <w:szCs w:val="40"/>
                        </w:rPr>
                        <w:t xml:space="preserve">Strategy </w:t>
                      </w:r>
                      <w:r w:rsidR="005279F3" w:rsidRPr="004572F3">
                        <w:rPr>
                          <w:rFonts w:ascii="Corbel" w:hAnsi="Corbel"/>
                          <w:b/>
                          <w:sz w:val="40"/>
                          <w:szCs w:val="40"/>
                        </w:rPr>
                        <w:t>(</w:t>
                      </w:r>
                      <w:proofErr w:type="gramStart"/>
                      <w:r w:rsidR="00661EA4" w:rsidRPr="004572F3">
                        <w:rPr>
                          <w:rFonts w:ascii="Corbel" w:hAnsi="Corbel"/>
                          <w:b/>
                          <w:sz w:val="40"/>
                          <w:szCs w:val="40"/>
                        </w:rPr>
                        <w:t xml:space="preserve">Neighbourhood Centres </w:t>
                      </w:r>
                      <w:r w:rsidR="005279F3" w:rsidRPr="004572F3">
                        <w:rPr>
                          <w:rFonts w:ascii="Corbel" w:hAnsi="Corbel"/>
                          <w:b/>
                          <w:sz w:val="40"/>
                          <w:szCs w:val="40"/>
                        </w:rPr>
                        <w:t>)</w:t>
                      </w:r>
                      <w:proofErr w:type="gramEnd"/>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distributed ) or EHRC guidance </w:t>
      </w:r>
      <w:r w:rsidR="00BE0A96">
        <w:t>at</w:t>
      </w:r>
    </w:p>
    <w:p w:rsidR="00BE0A96" w:rsidRDefault="00BC3E83"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BC3E83"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BC3E83"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822924" w:rsidRDefault="005279F3" w:rsidP="005279F3">
            <w:pPr>
              <w:outlineLvl w:val="0"/>
              <w:rPr>
                <w:b/>
                <w:color w:val="FF0000"/>
              </w:rPr>
            </w:pPr>
            <w:r>
              <w:t xml:space="preserve">Property </w:t>
            </w:r>
            <w:r w:rsidR="00661EA4">
              <w:t xml:space="preserve">Strategy </w:t>
            </w:r>
            <w:r>
              <w:t>(</w:t>
            </w:r>
            <w:r w:rsidR="00661EA4">
              <w:t>Neighbourhood Centres</w:t>
            </w:r>
            <w:r>
              <w:t>)</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D435C0" w:rsidRPr="00E3699C" w:rsidRDefault="00D435C0" w:rsidP="00D435C0">
            <w:pPr>
              <w:spacing w:after="0" w:line="240" w:lineRule="auto"/>
              <w:jc w:val="both"/>
              <w:rPr>
                <w:rFonts w:eastAsia="Times New Roman"/>
                <w:sz w:val="24"/>
                <w:szCs w:val="20"/>
                <w:lang w:eastAsia="en-GB"/>
              </w:rPr>
            </w:pPr>
            <w:r>
              <w:rPr>
                <w:rFonts w:eastAsia="Times New Roman"/>
                <w:sz w:val="24"/>
                <w:szCs w:val="20"/>
                <w:lang w:eastAsia="en-GB"/>
              </w:rPr>
              <w:t xml:space="preserve">Consideration of </w:t>
            </w:r>
            <w:r w:rsidRPr="00E3699C">
              <w:rPr>
                <w:rFonts w:eastAsia="Times New Roman"/>
                <w:sz w:val="24"/>
                <w:szCs w:val="20"/>
                <w:lang w:eastAsia="en-GB"/>
              </w:rPr>
              <w:t xml:space="preserve">a methodology to achieve a </w:t>
            </w:r>
            <w:r>
              <w:rPr>
                <w:rFonts w:eastAsia="Times New Roman"/>
                <w:sz w:val="24"/>
                <w:szCs w:val="20"/>
                <w:lang w:eastAsia="en-GB"/>
              </w:rPr>
              <w:t xml:space="preserve">sustainable long term rationalisation of </w:t>
            </w:r>
            <w:r w:rsidRPr="00E3699C">
              <w:rPr>
                <w:rFonts w:eastAsia="Times New Roman"/>
                <w:sz w:val="24"/>
                <w:szCs w:val="20"/>
                <w:lang w:eastAsia="en-GB"/>
              </w:rPr>
              <w:t>the County Council's corporate property portfolio to align with the aspirations of the Corporate Strategy and to enable the future successful deliv</w:t>
            </w:r>
            <w:r>
              <w:rPr>
                <w:rFonts w:eastAsia="Times New Roman"/>
                <w:sz w:val="24"/>
                <w:szCs w:val="20"/>
                <w:lang w:eastAsia="en-GB"/>
              </w:rPr>
              <w:t xml:space="preserve">ery of public facing services. The report </w:t>
            </w:r>
            <w:r w:rsidRPr="00E3699C">
              <w:rPr>
                <w:rFonts w:eastAsia="Times New Roman"/>
                <w:sz w:val="24"/>
                <w:szCs w:val="20"/>
                <w:lang w:eastAsia="en-GB"/>
              </w:rPr>
              <w:t xml:space="preserve">recommends a 'long' list of </w:t>
            </w:r>
            <w:r>
              <w:rPr>
                <w:rFonts w:eastAsia="Times New Roman"/>
                <w:sz w:val="24"/>
                <w:szCs w:val="20"/>
                <w:lang w:eastAsia="en-GB"/>
              </w:rPr>
              <w:t xml:space="preserve">220 </w:t>
            </w:r>
            <w:r w:rsidRPr="00E3699C">
              <w:rPr>
                <w:rFonts w:eastAsia="Times New Roman"/>
                <w:sz w:val="24"/>
                <w:szCs w:val="20"/>
                <w:lang w:eastAsia="en-GB"/>
              </w:rPr>
              <w:t xml:space="preserve">premises from which </w:t>
            </w:r>
            <w:r>
              <w:rPr>
                <w:rFonts w:eastAsia="Times New Roman"/>
                <w:sz w:val="24"/>
                <w:szCs w:val="20"/>
                <w:lang w:eastAsia="en-GB"/>
              </w:rPr>
              <w:t xml:space="preserve">112 </w:t>
            </w:r>
            <w:r w:rsidRPr="00E3699C">
              <w:rPr>
                <w:rFonts w:eastAsia="Times New Roman"/>
                <w:sz w:val="24"/>
                <w:szCs w:val="20"/>
                <w:lang w:eastAsia="en-GB"/>
              </w:rPr>
              <w:t>multi-functional Neighbourhood Centres could be selected and form the basis for service delivery.</w:t>
            </w:r>
          </w:p>
          <w:p w:rsidR="00105992" w:rsidRPr="00822924" w:rsidRDefault="00105992" w:rsidP="00661EA4">
            <w:pPr>
              <w:spacing w:after="0" w:line="240" w:lineRule="auto"/>
              <w:rPr>
                <w:b/>
                <w:color w:val="FF0000"/>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F51D8E" w:rsidRPr="00D7665B" w:rsidRDefault="00661EA4" w:rsidP="00F51D8E">
            <w:pPr>
              <w:rPr>
                <w:sz w:val="24"/>
                <w:szCs w:val="24"/>
              </w:rPr>
            </w:pPr>
            <w:r w:rsidRPr="00D7665B">
              <w:rPr>
                <w:sz w:val="24"/>
                <w:szCs w:val="24"/>
              </w:rPr>
              <w:t>Yes will impact on all communities.</w:t>
            </w:r>
          </w:p>
          <w:p w:rsidR="00F51D8E" w:rsidRDefault="00F51D8E" w:rsidP="00F51D8E">
            <w:pPr>
              <w:rPr>
                <w:sz w:val="24"/>
                <w:szCs w:val="24"/>
              </w:rPr>
            </w:pPr>
            <w:r w:rsidRPr="009124B6">
              <w:rPr>
                <w:sz w:val="24"/>
                <w:szCs w:val="24"/>
              </w:rPr>
              <w:t>Our approach for this strategy is driven by need in localities</w:t>
            </w:r>
            <w:r>
              <w:rPr>
                <w:sz w:val="24"/>
                <w:szCs w:val="24"/>
              </w:rPr>
              <w:t>.</w:t>
            </w:r>
            <w:r w:rsidRPr="009124B6">
              <w:rPr>
                <w:sz w:val="24"/>
                <w:szCs w:val="24"/>
              </w:rPr>
              <w:t xml:space="preserve"> </w:t>
            </w:r>
          </w:p>
          <w:p w:rsidR="00993F64" w:rsidRDefault="00F51D8E" w:rsidP="00844934">
            <w:r>
              <w:rPr>
                <w:sz w:val="24"/>
                <w:szCs w:val="24"/>
              </w:rPr>
              <w:t xml:space="preserve">We will use evidence based premises information, including </w:t>
            </w:r>
            <w:r w:rsidRPr="009124B6">
              <w:rPr>
                <w:sz w:val="24"/>
                <w:szCs w:val="24"/>
              </w:rPr>
              <w:t>the Indices of Multiple Deprivation (IMD)</w:t>
            </w:r>
            <w:r>
              <w:rPr>
                <w:sz w:val="24"/>
                <w:szCs w:val="24"/>
              </w:rPr>
              <w:t>,</w:t>
            </w:r>
            <w:r w:rsidRPr="009124B6">
              <w:rPr>
                <w:sz w:val="24"/>
                <w:szCs w:val="24"/>
              </w:rPr>
              <w:t xml:space="preserve"> population distribution and natural geographical communities</w:t>
            </w:r>
            <w:r>
              <w:rPr>
                <w:sz w:val="24"/>
                <w:szCs w:val="24"/>
              </w:rPr>
              <w:t xml:space="preserve"> alongside the Corporate Strategy and</w:t>
            </w:r>
            <w:r w:rsidRPr="0029676B">
              <w:rPr>
                <w:sz w:val="24"/>
                <w:szCs w:val="24"/>
              </w:rPr>
              <w:t xml:space="preserve"> Neighbour</w:t>
            </w:r>
            <w:r>
              <w:rPr>
                <w:sz w:val="24"/>
                <w:szCs w:val="24"/>
              </w:rPr>
              <w:t>hoods</w:t>
            </w:r>
            <w:r w:rsidRPr="0029676B">
              <w:rPr>
                <w:sz w:val="24"/>
                <w:szCs w:val="24"/>
              </w:rPr>
              <w:t xml:space="preserve"> Plan </w:t>
            </w:r>
            <w:r>
              <w:rPr>
                <w:sz w:val="24"/>
                <w:szCs w:val="24"/>
              </w:rPr>
              <w:t>which</w:t>
            </w:r>
            <w:r w:rsidRPr="0029676B">
              <w:rPr>
                <w:sz w:val="24"/>
                <w:szCs w:val="24"/>
              </w:rPr>
              <w:t xml:space="preserve"> reflects the different levels and types of needs within our communities across the 3</w:t>
            </w:r>
            <w:r>
              <w:rPr>
                <w:sz w:val="24"/>
                <w:szCs w:val="24"/>
              </w:rPr>
              <w:t>4</w:t>
            </w:r>
            <w:r w:rsidRPr="0029676B">
              <w:rPr>
                <w:sz w:val="24"/>
                <w:szCs w:val="24"/>
              </w:rPr>
              <w:t xml:space="preserve"> planning areas.</w:t>
            </w:r>
          </w:p>
        </w:tc>
      </w:tr>
    </w:tbl>
    <w:p w:rsidR="00993F64" w:rsidRPr="004F2BE6" w:rsidRDefault="00993F64" w:rsidP="00993F64"/>
    <w:p w:rsidR="00993F64" w:rsidRDefault="00993F64">
      <w:pPr>
        <w:rPr>
          <w:b/>
        </w:rPr>
      </w:pPr>
      <w:r>
        <w:rPr>
          <w:b/>
        </w:rPr>
        <w:lastRenderedPageBreak/>
        <w:t xml:space="preserve">Could the decision have a particular impact on any group of individuals sharing protected characteristics under the Equality Act 2010, namely: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F51D8E" w:rsidRPr="009273CF" w:rsidRDefault="00F51D8E" w:rsidP="00F51D8E">
            <w:pPr>
              <w:outlineLvl w:val="0"/>
              <w:rPr>
                <w:sz w:val="24"/>
                <w:szCs w:val="24"/>
              </w:rPr>
            </w:pPr>
            <w:r w:rsidRPr="009273CF">
              <w:rPr>
                <w:sz w:val="24"/>
                <w:szCs w:val="24"/>
              </w:rPr>
              <w:t xml:space="preserve">A reduction in the number of service delivery premises will impact on all residents who use county council services. </w:t>
            </w:r>
          </w:p>
          <w:p w:rsidR="00F51D8E" w:rsidRPr="009273CF" w:rsidRDefault="00F51D8E" w:rsidP="00F51D8E">
            <w:pPr>
              <w:outlineLvl w:val="0"/>
              <w:rPr>
                <w:sz w:val="24"/>
                <w:szCs w:val="24"/>
              </w:rPr>
            </w:pPr>
            <w:r w:rsidRPr="009273CF">
              <w:rPr>
                <w:noProof/>
                <w:sz w:val="24"/>
                <w:szCs w:val="24"/>
              </w:rPr>
              <w:t xml:space="preserve">We will use the property evidence base, 34 service planning areas and service delivery information to inform our decisions relating to premises. </w:t>
            </w:r>
          </w:p>
          <w:p w:rsidR="00844934" w:rsidRPr="009273CF" w:rsidRDefault="00F51D8E" w:rsidP="00FF67B2">
            <w:pPr>
              <w:outlineLvl w:val="0"/>
              <w:rPr>
                <w:sz w:val="24"/>
                <w:szCs w:val="24"/>
              </w:rPr>
            </w:pPr>
            <w:r w:rsidRPr="009273CF">
              <w:rPr>
                <w:sz w:val="24"/>
                <w:szCs w:val="24"/>
              </w:rPr>
              <w:lastRenderedPageBreak/>
              <w:t xml:space="preserve">Although we cannot be certain at this stage of the strategy development, </w:t>
            </w:r>
            <w:r w:rsidR="009273CF" w:rsidRPr="009273CF">
              <w:rPr>
                <w:sz w:val="24"/>
                <w:szCs w:val="24"/>
              </w:rPr>
              <w:t>it is acknowledged</w:t>
            </w:r>
            <w:r w:rsidRPr="009273CF">
              <w:rPr>
                <w:sz w:val="24"/>
                <w:szCs w:val="24"/>
              </w:rPr>
              <w:t xml:space="preserve"> there will likely be an impact on some specific individual groups. </w:t>
            </w:r>
            <w:r w:rsidR="00FF67B2" w:rsidRPr="009273CF">
              <w:rPr>
                <w:sz w:val="24"/>
                <w:szCs w:val="24"/>
              </w:rPr>
              <w:t xml:space="preserve"> As part of the EA process we will identify this data and update the full EA as and when information becomes available.  Where the data does not exist we will introduce monitoring systems to allow the analysis to be undertaken.  </w:t>
            </w:r>
          </w:p>
          <w:p w:rsidR="00F51D8E" w:rsidRPr="00CD2CF9" w:rsidRDefault="00FF67B2" w:rsidP="00FF67B2">
            <w:pPr>
              <w:outlineLvl w:val="0"/>
              <w:rPr>
                <w:b/>
                <w:i/>
                <w:color w:val="FF0000"/>
              </w:rPr>
            </w:pPr>
            <w:r w:rsidRPr="009273CF">
              <w:rPr>
                <w:sz w:val="24"/>
                <w:szCs w:val="24"/>
              </w:rPr>
              <w:t xml:space="preserve">It is acknowledged that the Property Strategy sits alongside the Corporate Strategy and as such mitigation of impact of the Property Strategy will be linked to service delivery, and </w:t>
            </w:r>
            <w:r w:rsidR="00F51D8E" w:rsidRPr="009273CF">
              <w:rPr>
                <w:sz w:val="24"/>
                <w:szCs w:val="24"/>
              </w:rPr>
              <w:t>we are confident that services will have due regard to the requirements of the Public Sector Equality Duty when decisions are being made and deliver the most effective services they can within the resources</w:t>
            </w:r>
            <w:r w:rsidRPr="009273CF">
              <w:rPr>
                <w:sz w:val="24"/>
                <w:szCs w:val="24"/>
              </w:rPr>
              <w:t xml:space="preserve"> (including premises) </w:t>
            </w:r>
            <w:r w:rsidR="00F51D8E" w:rsidRPr="009273CF">
              <w:rPr>
                <w:sz w:val="24"/>
                <w:szCs w:val="24"/>
              </w:rPr>
              <w:t>allocated.</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6E4165"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tc>
      </w:tr>
    </w:tbl>
    <w:p w:rsidR="00105992" w:rsidRDefault="00105992" w:rsidP="00993F64"/>
    <w:p w:rsidR="00993F64" w:rsidRDefault="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E05C2F" w:rsidP="00993F64">
            <w:r>
              <w:t>NA</w:t>
            </w:r>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1 –  Background Evidence</w:t>
      </w:r>
    </w:p>
    <w:p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434100" w:rsidRDefault="00434100" w:rsidP="00434100">
            <w:pPr>
              <w:spacing w:after="0" w:line="240" w:lineRule="auto"/>
              <w:rPr>
                <w:rFonts w:eastAsia="Times New Roman"/>
                <w:sz w:val="24"/>
                <w:szCs w:val="20"/>
                <w:lang w:eastAsia="en-GB"/>
              </w:rPr>
            </w:pPr>
            <w:r w:rsidRPr="00E3699C">
              <w:rPr>
                <w:rFonts w:eastAsia="Times New Roman"/>
                <w:sz w:val="24"/>
                <w:szCs w:val="20"/>
                <w:lang w:eastAsia="en-GB"/>
              </w:rPr>
              <w:t xml:space="preserve">It is proposed that the reduction in premises from 220 be based upon need assessed </w:t>
            </w:r>
            <w:r w:rsidR="00F25B82">
              <w:rPr>
                <w:rFonts w:eastAsia="Times New Roman"/>
                <w:sz w:val="24"/>
                <w:szCs w:val="20"/>
                <w:lang w:eastAsia="en-GB"/>
              </w:rPr>
              <w:t xml:space="preserve">across </w:t>
            </w:r>
            <w:r w:rsidRPr="00E3699C">
              <w:rPr>
                <w:rFonts w:eastAsia="Times New Roman"/>
                <w:sz w:val="24"/>
                <w:szCs w:val="20"/>
                <w:lang w:eastAsia="en-GB"/>
              </w:rPr>
              <w:t>34 Service Planning Areas (SPAs) across the County using the 2015 English Indices of Multiple Deprivation</w:t>
            </w:r>
          </w:p>
          <w:p w:rsidR="00E05C2F" w:rsidRPr="00E3699C" w:rsidRDefault="00E05C2F" w:rsidP="00434100">
            <w:pPr>
              <w:spacing w:after="0" w:line="240" w:lineRule="auto"/>
              <w:rPr>
                <w:rFonts w:eastAsia="Times New Roman"/>
                <w:sz w:val="24"/>
                <w:szCs w:val="20"/>
                <w:lang w:eastAsia="en-GB"/>
              </w:rPr>
            </w:pPr>
          </w:p>
          <w:p w:rsidR="00434100" w:rsidRDefault="00434100" w:rsidP="00434100">
            <w:pPr>
              <w:spacing w:after="0" w:line="240" w:lineRule="auto"/>
              <w:rPr>
                <w:rFonts w:eastAsia="Times New Roman"/>
                <w:sz w:val="24"/>
                <w:szCs w:val="20"/>
                <w:lang w:eastAsia="en-GB"/>
              </w:rPr>
            </w:pPr>
            <w:r w:rsidRPr="00E3699C">
              <w:rPr>
                <w:rFonts w:eastAsia="Times New Roman"/>
                <w:sz w:val="24"/>
                <w:szCs w:val="20"/>
                <w:lang w:eastAsia="en-GB"/>
              </w:rPr>
              <w:t>Approval of the proposed strategy would enable detailed analysis and consultation to identify the candidates for inclusion in the ne</w:t>
            </w:r>
            <w:r w:rsidR="0033216F">
              <w:rPr>
                <w:rFonts w:eastAsia="Times New Roman"/>
                <w:sz w:val="24"/>
                <w:szCs w:val="20"/>
                <w:lang w:eastAsia="en-GB"/>
              </w:rPr>
              <w:t>w</w:t>
            </w:r>
            <w:r w:rsidRPr="00E3699C">
              <w:rPr>
                <w:rFonts w:eastAsia="Times New Roman"/>
                <w:sz w:val="24"/>
                <w:szCs w:val="20"/>
                <w:lang w:eastAsia="en-GB"/>
              </w:rPr>
              <w:t xml:space="preserve"> 'Neighbourhood Centres' portfolio and by exception, which premises would be recommended for disposal.</w:t>
            </w:r>
          </w:p>
          <w:p w:rsidR="00E05C2F" w:rsidRPr="00E3699C" w:rsidRDefault="00E05C2F" w:rsidP="00434100">
            <w:pPr>
              <w:spacing w:after="0" w:line="240" w:lineRule="auto"/>
              <w:rPr>
                <w:rFonts w:eastAsia="Times New Roman"/>
                <w:sz w:val="24"/>
                <w:szCs w:val="20"/>
                <w:lang w:eastAsia="en-GB"/>
              </w:rPr>
            </w:pPr>
          </w:p>
          <w:p w:rsidR="00FF67B2" w:rsidRPr="0033216F" w:rsidRDefault="00822924" w:rsidP="00FF67B2">
            <w:pPr>
              <w:rPr>
                <w:sz w:val="24"/>
                <w:szCs w:val="24"/>
              </w:rPr>
            </w:pPr>
            <w:r w:rsidRPr="009273CF">
              <w:rPr>
                <w:sz w:val="24"/>
                <w:szCs w:val="24"/>
              </w:rPr>
              <w:t xml:space="preserve">At the time of presenting this </w:t>
            </w:r>
            <w:r w:rsidR="0033216F" w:rsidRPr="009273CF">
              <w:rPr>
                <w:sz w:val="24"/>
                <w:szCs w:val="24"/>
              </w:rPr>
              <w:t xml:space="preserve">report </w:t>
            </w:r>
            <w:r w:rsidRPr="009273CF">
              <w:rPr>
                <w:sz w:val="24"/>
                <w:szCs w:val="24"/>
              </w:rPr>
              <w:t>information</w:t>
            </w:r>
            <w:r w:rsidR="0033216F" w:rsidRPr="009273CF">
              <w:rPr>
                <w:sz w:val="24"/>
                <w:szCs w:val="24"/>
              </w:rPr>
              <w:t xml:space="preserve"> on which protected characteristic groups will be using Neighbourhood Centres </w:t>
            </w:r>
            <w:r w:rsidRPr="009273CF">
              <w:rPr>
                <w:sz w:val="24"/>
                <w:szCs w:val="24"/>
              </w:rPr>
              <w:t>is not available – as part of the EA process we will identify this data and update the full EA as and when information becomes available.  Where the data does not exist we will introduce monitoring systems to allow the analysis to be undertaken.</w:t>
            </w: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2B7C3F" w:rsidRDefault="002B7C3F" w:rsidP="002B7C3F"/>
          <w:tbl>
            <w:tblPr>
              <w:tblW w:w="0" w:type="auto"/>
              <w:tblCellMar>
                <w:left w:w="0" w:type="dxa"/>
                <w:right w:w="0" w:type="dxa"/>
              </w:tblCellMar>
              <w:tblLook w:val="04A0" w:firstRow="1" w:lastRow="0" w:firstColumn="1" w:lastColumn="0" w:noHBand="0" w:noVBand="1"/>
            </w:tblPr>
            <w:tblGrid>
              <w:gridCol w:w="8780"/>
            </w:tblGrid>
            <w:tr w:rsidR="002B7C3F" w:rsidTr="002B7C3F">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C09" w:rsidRDefault="00AF4C09" w:rsidP="00AF4C09">
                  <w:pPr>
                    <w:spacing w:after="0" w:line="240" w:lineRule="auto"/>
                    <w:jc w:val="both"/>
                    <w:rPr>
                      <w:rFonts w:eastAsia="Times New Roman"/>
                      <w:sz w:val="24"/>
                      <w:szCs w:val="20"/>
                      <w:lang w:eastAsia="en-GB"/>
                    </w:rPr>
                  </w:pPr>
                  <w:r w:rsidRPr="00E3699C">
                    <w:rPr>
                      <w:rFonts w:eastAsia="Times New Roman"/>
                      <w:sz w:val="24"/>
                      <w:szCs w:val="20"/>
                      <w:lang w:eastAsia="en-GB"/>
                    </w:rPr>
                    <w:t xml:space="preserve">The proposed strategy for the </w:t>
                  </w:r>
                  <w:r w:rsidR="00FF67B2">
                    <w:rPr>
                      <w:rFonts w:eastAsia="Times New Roman"/>
                      <w:sz w:val="24"/>
                      <w:szCs w:val="20"/>
                      <w:lang w:eastAsia="en-GB"/>
                    </w:rPr>
                    <w:t xml:space="preserve">rationalisation of public facing service delivery premises </w:t>
                  </w:r>
                  <w:r w:rsidRPr="00E3699C">
                    <w:rPr>
                      <w:rFonts w:eastAsia="Times New Roman"/>
                      <w:sz w:val="24"/>
                      <w:szCs w:val="20"/>
                      <w:lang w:eastAsia="en-GB"/>
                    </w:rPr>
                    <w:t xml:space="preserve">has </w:t>
                  </w:r>
                  <w:r w:rsidR="00FF67B2">
                    <w:rPr>
                      <w:rFonts w:eastAsia="Times New Roman"/>
                      <w:sz w:val="24"/>
                      <w:szCs w:val="20"/>
                      <w:lang w:eastAsia="en-GB"/>
                    </w:rPr>
                    <w:t xml:space="preserve">developed alongside the Corporate Strategy and has </w:t>
                  </w:r>
                  <w:r w:rsidRPr="00E3699C">
                    <w:rPr>
                      <w:rFonts w:eastAsia="Times New Roman"/>
                      <w:sz w:val="24"/>
                      <w:szCs w:val="20"/>
                      <w:lang w:eastAsia="en-GB"/>
                    </w:rPr>
                    <w:t xml:space="preserve">been discussed with relevant service heads with a view to ensuring that </w:t>
                  </w:r>
                  <w:r w:rsidR="00EC582D">
                    <w:rPr>
                      <w:rFonts w:eastAsia="Times New Roman"/>
                      <w:sz w:val="24"/>
                      <w:szCs w:val="20"/>
                      <w:lang w:eastAsia="en-GB"/>
                    </w:rPr>
                    <w:t xml:space="preserve">any </w:t>
                  </w:r>
                  <w:r w:rsidRPr="00E3699C">
                    <w:rPr>
                      <w:rFonts w:eastAsia="Times New Roman"/>
                      <w:sz w:val="24"/>
                      <w:szCs w:val="20"/>
                      <w:lang w:eastAsia="en-GB"/>
                    </w:rPr>
                    <w:t>final recommended list of premises to remain as Neighbourhood Centres would align operationally with various delivery plans, e</w:t>
                  </w:r>
                  <w:r>
                    <w:rPr>
                      <w:rFonts w:eastAsia="Times New Roman"/>
                      <w:sz w:val="24"/>
                      <w:szCs w:val="20"/>
                      <w:lang w:eastAsia="en-GB"/>
                    </w:rPr>
                    <w:t>.</w:t>
                  </w:r>
                  <w:r w:rsidRPr="00E3699C">
                    <w:rPr>
                      <w:rFonts w:eastAsia="Times New Roman"/>
                      <w:sz w:val="24"/>
                      <w:szCs w:val="20"/>
                      <w:lang w:eastAsia="en-GB"/>
                    </w:rPr>
                    <w:t>g., the Libraries Strategy and the Wellbeing, Prevention and Early He</w:t>
                  </w:r>
                  <w:r w:rsidR="00FF67B2">
                    <w:rPr>
                      <w:rFonts w:eastAsia="Times New Roman"/>
                      <w:sz w:val="24"/>
                      <w:szCs w:val="20"/>
                      <w:lang w:eastAsia="en-GB"/>
                    </w:rPr>
                    <w:t>lp</w:t>
                  </w:r>
                  <w:r w:rsidRPr="00E3699C">
                    <w:rPr>
                      <w:rFonts w:eastAsia="Times New Roman"/>
                      <w:sz w:val="24"/>
                      <w:szCs w:val="20"/>
                      <w:lang w:eastAsia="en-GB"/>
                    </w:rPr>
                    <w:t xml:space="preserve"> Strategy. </w:t>
                  </w:r>
                </w:p>
                <w:p w:rsidR="00AF4C09" w:rsidRPr="00E3699C" w:rsidRDefault="00AF4C09" w:rsidP="00AF4C09">
                  <w:pPr>
                    <w:spacing w:after="0" w:line="240" w:lineRule="auto"/>
                    <w:jc w:val="both"/>
                    <w:rPr>
                      <w:rFonts w:eastAsia="Times New Roman"/>
                      <w:sz w:val="24"/>
                      <w:szCs w:val="20"/>
                      <w:lang w:eastAsia="en-GB"/>
                    </w:rPr>
                  </w:pPr>
                </w:p>
                <w:p w:rsidR="002B7C3F" w:rsidRPr="009273CF" w:rsidRDefault="00963B16" w:rsidP="002B7C3F">
                  <w:pPr>
                    <w:rPr>
                      <w:iCs/>
                      <w:sz w:val="24"/>
                      <w:szCs w:val="24"/>
                    </w:rPr>
                  </w:pPr>
                  <w:r w:rsidRPr="009273CF">
                    <w:rPr>
                      <w:iCs/>
                      <w:sz w:val="24"/>
                      <w:szCs w:val="24"/>
                    </w:rPr>
                    <w:t>C</w:t>
                  </w:r>
                  <w:r w:rsidR="00EC582D" w:rsidRPr="009273CF">
                    <w:rPr>
                      <w:iCs/>
                      <w:sz w:val="24"/>
                      <w:szCs w:val="24"/>
                    </w:rPr>
                    <w:t xml:space="preserve">onsultation will </w:t>
                  </w:r>
                  <w:r w:rsidRPr="009273CF">
                    <w:rPr>
                      <w:iCs/>
                      <w:sz w:val="24"/>
                      <w:szCs w:val="24"/>
                    </w:rPr>
                    <w:t>take place alongside that</w:t>
                  </w:r>
                  <w:r w:rsidR="00EC582D" w:rsidRPr="009273CF">
                    <w:rPr>
                      <w:iCs/>
                      <w:sz w:val="24"/>
                      <w:szCs w:val="24"/>
                    </w:rPr>
                    <w:t xml:space="preserve"> for relevant service areas and the </w:t>
                  </w:r>
                  <w:r w:rsidR="002B7C3F" w:rsidRPr="009273CF">
                    <w:rPr>
                      <w:iCs/>
                      <w:sz w:val="24"/>
                      <w:szCs w:val="24"/>
                    </w:rPr>
                    <w:t xml:space="preserve">results of the consultation will be analysed and taken into account when finalising </w:t>
                  </w:r>
                  <w:r w:rsidR="00FA5BC3" w:rsidRPr="009273CF">
                    <w:rPr>
                      <w:iCs/>
                      <w:sz w:val="24"/>
                      <w:szCs w:val="24"/>
                    </w:rPr>
                    <w:t>recommendations</w:t>
                  </w:r>
                  <w:r w:rsidR="002B7C3F" w:rsidRPr="009273CF">
                    <w:rPr>
                      <w:iCs/>
                      <w:sz w:val="24"/>
                      <w:szCs w:val="24"/>
                    </w:rPr>
                    <w:t>.  The findings of any consultation will be incorporated into this EA.</w:t>
                  </w:r>
                </w:p>
                <w:p w:rsidR="002B7C3F" w:rsidRDefault="002B7C3F" w:rsidP="00963B16">
                  <w:pPr>
                    <w:rPr>
                      <w:i/>
                      <w:iCs/>
                    </w:rPr>
                  </w:pPr>
                </w:p>
              </w:tc>
            </w:tr>
          </w:tbl>
          <w:p w:rsidR="00CD2CF9" w:rsidRDefault="00CD2CF9" w:rsidP="00993F64">
            <w:pPr>
              <w:rPr>
                <w:i/>
                <w:color w:val="FF0000"/>
              </w:rPr>
            </w:pPr>
          </w:p>
          <w:p w:rsidR="002B7C3F" w:rsidRDefault="002B7C3F" w:rsidP="00993F64">
            <w:pPr>
              <w:rPr>
                <w:i/>
                <w:color w:val="FF0000"/>
              </w:rPr>
            </w:pPr>
          </w:p>
          <w:p w:rsidR="002B7C3F" w:rsidRPr="00CD2CF9" w:rsidRDefault="002B7C3F" w:rsidP="00993F64">
            <w:pPr>
              <w:rPr>
                <w:i/>
                <w:color w:val="FF0000"/>
              </w:rPr>
            </w:pPr>
          </w:p>
          <w:p w:rsidR="00CD2CF9" w:rsidRPr="00CD2CF9" w:rsidRDefault="00CD2CF9" w:rsidP="00993F64">
            <w:pPr>
              <w:rPr>
                <w:i/>
              </w:rPr>
            </w:pP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Could your proposal potentially impact on individuals sharing the protected characteristics in any of the following 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993F64" w:rsidP="00993F64">
      <w:pPr>
        <w:pStyle w:val="ColorfulList-Accent11"/>
        <w:numPr>
          <w:ilvl w:val="0"/>
          <w:numId w:val="3"/>
        </w:numPr>
      </w:pPr>
      <w:r>
        <w:lastRenderedPageBreak/>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63B16" w:rsidRPr="009273CF" w:rsidRDefault="00963B16" w:rsidP="00434100">
            <w:pPr>
              <w:rPr>
                <w:sz w:val="24"/>
                <w:szCs w:val="24"/>
              </w:rPr>
            </w:pPr>
            <w:r w:rsidRPr="009273CF">
              <w:rPr>
                <w:sz w:val="24"/>
                <w:szCs w:val="24"/>
              </w:rPr>
              <w:t>Neighbourhood Centres will play a key role in service delivery.   At this stage it is not possible to analyse the impact against groups</w:t>
            </w:r>
            <w:r w:rsidR="00F25B82" w:rsidRPr="009273CF">
              <w:rPr>
                <w:sz w:val="24"/>
                <w:szCs w:val="24"/>
              </w:rPr>
              <w:t xml:space="preserve"> with</w:t>
            </w:r>
            <w:r w:rsidRPr="009273CF">
              <w:rPr>
                <w:sz w:val="24"/>
                <w:szCs w:val="24"/>
              </w:rPr>
              <w:t xml:space="preserve"> </w:t>
            </w:r>
            <w:r w:rsidR="00F25B82" w:rsidRPr="009273CF">
              <w:rPr>
                <w:sz w:val="24"/>
                <w:szCs w:val="24"/>
              </w:rPr>
              <w:t xml:space="preserve">protected characteristics </w:t>
            </w:r>
            <w:r w:rsidRPr="009273CF">
              <w:rPr>
                <w:sz w:val="24"/>
                <w:szCs w:val="24"/>
              </w:rPr>
              <w:t xml:space="preserve">however, in the decision making process regarding service delivery we will have due regard to the Public Sector Equality Duty requirements and the Prevent Duty to minimise any negative impact on our communities.  </w:t>
            </w:r>
          </w:p>
          <w:p w:rsidR="009002AD" w:rsidRPr="009273CF" w:rsidRDefault="00963B16" w:rsidP="009002AD">
            <w:pPr>
              <w:rPr>
                <w:sz w:val="24"/>
                <w:szCs w:val="24"/>
              </w:rPr>
            </w:pPr>
            <w:r w:rsidRPr="009273CF">
              <w:rPr>
                <w:sz w:val="24"/>
                <w:szCs w:val="24"/>
              </w:rPr>
              <w:t>The delivery of a more flexible portfolio intends to create additional opportunities to rationalise the portfolio in terms of service delivery premises whilst endeavouring to maintain a County Council presence across the county, particularly in areas of need.  The Corporate Strategy and the potential accompanying changes to service delivery will provide a clearer view of the requirements of the portfolio in t</w:t>
            </w:r>
            <w:r w:rsidR="009002AD" w:rsidRPr="009273CF">
              <w:rPr>
                <w:sz w:val="24"/>
                <w:szCs w:val="24"/>
              </w:rPr>
              <w:t>erms of 'Neighbourhood</w:t>
            </w:r>
            <w:r w:rsidR="00F25B82" w:rsidRPr="009273CF">
              <w:rPr>
                <w:sz w:val="24"/>
                <w:szCs w:val="24"/>
              </w:rPr>
              <w:t xml:space="preserve"> C</w:t>
            </w:r>
            <w:r w:rsidR="009002AD" w:rsidRPr="009273CF">
              <w:rPr>
                <w:sz w:val="24"/>
                <w:szCs w:val="24"/>
              </w:rPr>
              <w:t>entres</w:t>
            </w:r>
            <w:r w:rsidR="00F25B82" w:rsidRPr="009273CF">
              <w:rPr>
                <w:sz w:val="24"/>
                <w:szCs w:val="24"/>
              </w:rPr>
              <w:t>'</w:t>
            </w:r>
            <w:r w:rsidR="009002AD" w:rsidRPr="009273CF">
              <w:rPr>
                <w:sz w:val="24"/>
                <w:szCs w:val="24"/>
              </w:rPr>
              <w:t xml:space="preserve">.  It is recognised that this proposal may impact on groups with </w:t>
            </w:r>
            <w:r w:rsidR="00F25B82" w:rsidRPr="009273CF">
              <w:rPr>
                <w:sz w:val="24"/>
                <w:szCs w:val="24"/>
              </w:rPr>
              <w:t xml:space="preserve">protected characteristics in terms of </w:t>
            </w:r>
            <w:r w:rsidR="009002AD" w:rsidRPr="009273CF">
              <w:rPr>
                <w:sz w:val="24"/>
                <w:szCs w:val="24"/>
              </w:rPr>
              <w:t>location of the new Neighbourhood Centres in particular disabled, age (young and old), pregnancy &amp; maternity e.g. who may have transport, travel and accessibility  issues.</w:t>
            </w:r>
          </w:p>
          <w:p w:rsidR="00434100" w:rsidRPr="009273CF" w:rsidRDefault="00434100" w:rsidP="00434100">
            <w:pPr>
              <w:rPr>
                <w:sz w:val="24"/>
                <w:szCs w:val="24"/>
              </w:rPr>
            </w:pPr>
            <w:r w:rsidRPr="009273CF">
              <w:rPr>
                <w:sz w:val="24"/>
                <w:szCs w:val="24"/>
              </w:rPr>
              <w:t>Neighbourhood Centres will generally be selected from existing local service delivery buildings. They will:</w:t>
            </w:r>
          </w:p>
          <w:p w:rsidR="00434100" w:rsidRPr="009273CF" w:rsidRDefault="00434100" w:rsidP="00434100">
            <w:pPr>
              <w:rPr>
                <w:sz w:val="24"/>
                <w:szCs w:val="24"/>
              </w:rPr>
            </w:pPr>
            <w:r w:rsidRPr="009273CF">
              <w:rPr>
                <w:sz w:val="24"/>
                <w:szCs w:val="24"/>
              </w:rPr>
              <w:lastRenderedPageBreak/>
              <w:t>•</w:t>
            </w:r>
            <w:r w:rsidRPr="009273CF">
              <w:rPr>
                <w:sz w:val="24"/>
                <w:szCs w:val="24"/>
              </w:rPr>
              <w:tab/>
              <w:t>Be located in areas of priority need</w:t>
            </w:r>
          </w:p>
          <w:p w:rsidR="00434100" w:rsidRPr="009273CF" w:rsidRDefault="00434100" w:rsidP="00434100">
            <w:pPr>
              <w:rPr>
                <w:sz w:val="24"/>
                <w:szCs w:val="24"/>
              </w:rPr>
            </w:pPr>
            <w:r w:rsidRPr="009273CF">
              <w:rPr>
                <w:sz w:val="24"/>
                <w:szCs w:val="24"/>
              </w:rPr>
              <w:t>•</w:t>
            </w:r>
            <w:r w:rsidRPr="009273CF">
              <w:rPr>
                <w:sz w:val="24"/>
                <w:szCs w:val="24"/>
              </w:rPr>
              <w:tab/>
              <w:t>Have extended opening hours – where required</w:t>
            </w:r>
          </w:p>
          <w:p w:rsidR="00963B16" w:rsidRPr="009273CF" w:rsidRDefault="00434100" w:rsidP="00434100">
            <w:pPr>
              <w:rPr>
                <w:sz w:val="24"/>
                <w:szCs w:val="24"/>
              </w:rPr>
            </w:pPr>
            <w:r w:rsidRPr="009273CF">
              <w:rPr>
                <w:sz w:val="24"/>
                <w:szCs w:val="24"/>
              </w:rPr>
              <w:t>•</w:t>
            </w:r>
            <w:r w:rsidRPr="009273CF">
              <w:rPr>
                <w:sz w:val="24"/>
                <w:szCs w:val="24"/>
              </w:rPr>
              <w:tab/>
              <w:t>Have flexible use of space; co-location and sharing of facilities</w:t>
            </w:r>
            <w:r w:rsidR="009273CF">
              <w:rPr>
                <w:sz w:val="24"/>
                <w:szCs w:val="24"/>
              </w:rPr>
              <w:t>.</w:t>
            </w:r>
          </w:p>
          <w:p w:rsidR="00963B16" w:rsidRPr="00FB51C2" w:rsidRDefault="00963B16" w:rsidP="009002AD">
            <w:pPr>
              <w:rPr>
                <w:color w:val="FF0000"/>
                <w:sz w:val="24"/>
                <w:szCs w:val="24"/>
              </w:rPr>
            </w:pP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33216F" w:rsidRPr="0075508B" w:rsidRDefault="0033216F" w:rsidP="0033216F">
            <w:pPr>
              <w:pStyle w:val="NoSpacing"/>
              <w:jc w:val="both"/>
              <w:rPr>
                <w:rFonts w:ascii="Arial" w:hAnsi="Arial" w:cs="Arial"/>
                <w:b/>
                <w:sz w:val="24"/>
                <w:szCs w:val="24"/>
                <w:u w:val="single"/>
              </w:rPr>
            </w:pPr>
          </w:p>
          <w:p w:rsidR="009002AD" w:rsidRPr="009273CF" w:rsidRDefault="009002AD" w:rsidP="006D4194">
            <w:pPr>
              <w:pStyle w:val="NoSpacing"/>
              <w:jc w:val="both"/>
              <w:rPr>
                <w:rFonts w:ascii="Arial" w:hAnsi="Arial" w:cs="Arial"/>
                <w:sz w:val="24"/>
                <w:szCs w:val="24"/>
              </w:rPr>
            </w:pPr>
            <w:r w:rsidRPr="009273CF">
              <w:rPr>
                <w:rFonts w:ascii="Arial" w:hAnsi="Arial" w:cs="Arial"/>
                <w:sz w:val="24"/>
                <w:szCs w:val="24"/>
              </w:rPr>
              <w:t xml:space="preserve">Yes, due to this continued period of austerity nationally, we recognise that there may be decisions on policy, funding, delivery of services that will have a combined cumulative effect on groups in Lancashire.  The Property Strategy (Neighbourhood Centres) sits alongside the Corporate Strategy and as such </w:t>
            </w:r>
            <w:r w:rsidR="006D4194" w:rsidRPr="009273CF">
              <w:rPr>
                <w:rFonts w:ascii="Arial" w:hAnsi="Arial" w:cs="Arial"/>
                <w:sz w:val="24"/>
                <w:szCs w:val="24"/>
              </w:rPr>
              <w:t>links</w:t>
            </w:r>
            <w:r w:rsidRPr="009273CF">
              <w:rPr>
                <w:rFonts w:ascii="Arial" w:hAnsi="Arial" w:cs="Arial"/>
                <w:sz w:val="24"/>
                <w:szCs w:val="24"/>
              </w:rPr>
              <w:t xml:space="preserve"> to service delivery decisions.  </w:t>
            </w:r>
            <w:r w:rsidR="006D4194" w:rsidRPr="009273CF">
              <w:rPr>
                <w:rFonts w:ascii="Arial" w:hAnsi="Arial" w:cs="Arial"/>
                <w:sz w:val="24"/>
                <w:szCs w:val="24"/>
              </w:rPr>
              <w:t>The proposal asks for approval for contact to be made with relevant other public sector partners to explore opportunities for co-location and sharing of service delivery thus allowing for consideration wider public sector rationalisation and challenges.</w:t>
            </w:r>
          </w:p>
          <w:p w:rsidR="00E05C2F" w:rsidRDefault="00E05C2F" w:rsidP="00A21735">
            <w:pPr>
              <w:pStyle w:val="NoSpacing"/>
              <w:jc w:val="both"/>
              <w:rPr>
                <w:rFonts w:ascii="Arial" w:hAnsi="Arial" w:cs="Arial"/>
                <w:sz w:val="24"/>
                <w:szCs w:val="24"/>
              </w:rPr>
            </w:pPr>
          </w:p>
          <w:p w:rsidR="00A21735" w:rsidRPr="00C244A4" w:rsidRDefault="00A21735" w:rsidP="009002AD">
            <w:pPr>
              <w:pStyle w:val="NoSpacing"/>
              <w:jc w:val="both"/>
              <w:rPr>
                <w:color w:val="FF0000"/>
              </w:rPr>
            </w:pP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Stopp</w:t>
      </w:r>
      <w:r w:rsidR="009273CF">
        <w:t xml:space="preserve">ed the Proposal and Revised it </w:t>
      </w:r>
      <w:r>
        <w:t>-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0D31C6" w:rsidRDefault="000D31C6" w:rsidP="00585C8D">
            <w:pPr>
              <w:rPr>
                <w:i/>
              </w:rPr>
            </w:pPr>
            <w:r w:rsidRPr="009273CF">
              <w:rPr>
                <w:sz w:val="24"/>
                <w:szCs w:val="24"/>
              </w:rPr>
              <w:t>The proposal will be reviewed following further analysis and upon results of the consultation</w:t>
            </w:r>
            <w:r w:rsidR="00E05C2F" w:rsidRPr="009273CF">
              <w:rPr>
                <w:sz w:val="24"/>
                <w:szCs w:val="24"/>
              </w:rPr>
              <w:t xml:space="preserve"> </w:t>
            </w:r>
            <w:r w:rsidR="00585C8D">
              <w:rPr>
                <w:sz w:val="24"/>
                <w:szCs w:val="24"/>
              </w:rPr>
              <w:t>regarding the</w:t>
            </w:r>
            <w:r w:rsidR="00E05C2F" w:rsidRPr="009273CF">
              <w:rPr>
                <w:sz w:val="24"/>
                <w:szCs w:val="24"/>
              </w:rPr>
              <w:t xml:space="preserve"> location of the SPAs</w:t>
            </w:r>
            <w:r w:rsidR="00A21735" w:rsidRPr="009273CF">
              <w:rPr>
                <w:sz w:val="24"/>
                <w:szCs w:val="24"/>
              </w:rPr>
              <w:t>.</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695983" w:rsidRPr="00695983" w:rsidRDefault="00695983" w:rsidP="00A21735">
            <w:pPr>
              <w:pStyle w:val="NoSpacing"/>
              <w:jc w:val="both"/>
              <w:rPr>
                <w:rFonts w:ascii="Arial" w:hAnsi="Arial" w:cs="Arial"/>
                <w:sz w:val="24"/>
                <w:szCs w:val="24"/>
              </w:rPr>
            </w:pPr>
            <w:r w:rsidRPr="00695983">
              <w:rPr>
                <w:rFonts w:ascii="Arial" w:hAnsi="Arial" w:cs="Arial"/>
                <w:sz w:val="24"/>
                <w:szCs w:val="24"/>
              </w:rPr>
              <w:t>Mitigating actions are in the process of being developed and will be informed by the findings of the consultation.</w:t>
            </w:r>
          </w:p>
          <w:p w:rsidR="00695983" w:rsidRDefault="00695983" w:rsidP="00A21735">
            <w:pPr>
              <w:pStyle w:val="NoSpacing"/>
              <w:jc w:val="both"/>
              <w:rPr>
                <w:i/>
                <w:color w:val="FF0000"/>
              </w:rPr>
            </w:pPr>
          </w:p>
          <w:p w:rsidR="00A21735" w:rsidRPr="009273CF" w:rsidRDefault="00A21735" w:rsidP="00A21735">
            <w:pPr>
              <w:pStyle w:val="NoSpacing"/>
              <w:jc w:val="both"/>
              <w:rPr>
                <w:rFonts w:ascii="Arial" w:hAnsi="Arial" w:cs="Arial"/>
                <w:sz w:val="24"/>
                <w:szCs w:val="24"/>
              </w:rPr>
            </w:pPr>
            <w:r w:rsidRPr="009273CF">
              <w:rPr>
                <w:rFonts w:ascii="Arial" w:hAnsi="Arial" w:cs="Arial"/>
                <w:sz w:val="24"/>
                <w:szCs w:val="24"/>
              </w:rPr>
              <w:t xml:space="preserve">Other issues that </w:t>
            </w:r>
            <w:r w:rsidR="006D4194" w:rsidRPr="009273CF">
              <w:rPr>
                <w:rFonts w:ascii="Arial" w:hAnsi="Arial" w:cs="Arial"/>
                <w:sz w:val="24"/>
                <w:szCs w:val="24"/>
              </w:rPr>
              <w:t xml:space="preserve">the report proposes </w:t>
            </w:r>
            <w:r w:rsidRPr="009273CF">
              <w:rPr>
                <w:rFonts w:ascii="Arial" w:hAnsi="Arial" w:cs="Arial"/>
                <w:sz w:val="24"/>
                <w:szCs w:val="24"/>
              </w:rPr>
              <w:t>should be considered in identifying the Neighbourhood Centres are:</w:t>
            </w:r>
          </w:p>
          <w:p w:rsidR="00A21735" w:rsidRPr="009273CF" w:rsidRDefault="00A21735" w:rsidP="00A21735">
            <w:pPr>
              <w:pStyle w:val="NoSpacing"/>
              <w:numPr>
                <w:ilvl w:val="0"/>
                <w:numId w:val="5"/>
              </w:numPr>
              <w:jc w:val="both"/>
              <w:rPr>
                <w:rFonts w:ascii="Arial" w:hAnsi="Arial" w:cs="Arial"/>
                <w:sz w:val="24"/>
                <w:szCs w:val="24"/>
              </w:rPr>
            </w:pPr>
            <w:r w:rsidRPr="009273CF">
              <w:rPr>
                <w:rFonts w:ascii="Arial" w:hAnsi="Arial" w:cs="Arial"/>
                <w:sz w:val="24"/>
                <w:szCs w:val="24"/>
              </w:rPr>
              <w:t xml:space="preserve">Service plans regarding future service delivery. </w:t>
            </w:r>
          </w:p>
          <w:p w:rsidR="00A21735" w:rsidRPr="009273CF" w:rsidRDefault="00A21735" w:rsidP="00A21735">
            <w:pPr>
              <w:pStyle w:val="NoSpacing"/>
              <w:numPr>
                <w:ilvl w:val="0"/>
                <w:numId w:val="5"/>
              </w:numPr>
              <w:jc w:val="both"/>
              <w:rPr>
                <w:rFonts w:ascii="Arial" w:hAnsi="Arial" w:cs="Arial"/>
                <w:sz w:val="24"/>
                <w:szCs w:val="24"/>
              </w:rPr>
            </w:pPr>
            <w:r w:rsidRPr="009273CF">
              <w:rPr>
                <w:rFonts w:ascii="Arial" w:hAnsi="Arial" w:cs="Arial"/>
                <w:sz w:val="24"/>
                <w:szCs w:val="24"/>
              </w:rPr>
              <w:t xml:space="preserve">Premises in neighbouring SPAs.  </w:t>
            </w:r>
          </w:p>
          <w:p w:rsidR="00A21735" w:rsidRPr="009273CF" w:rsidRDefault="00A21735" w:rsidP="00A21735">
            <w:pPr>
              <w:pStyle w:val="NoSpacing"/>
              <w:numPr>
                <w:ilvl w:val="0"/>
                <w:numId w:val="5"/>
              </w:numPr>
              <w:jc w:val="both"/>
              <w:rPr>
                <w:rFonts w:ascii="Arial" w:hAnsi="Arial" w:cs="Arial"/>
                <w:sz w:val="24"/>
                <w:szCs w:val="24"/>
              </w:rPr>
            </w:pPr>
            <w:r w:rsidRPr="009273CF">
              <w:rPr>
                <w:rFonts w:ascii="Arial" w:hAnsi="Arial" w:cs="Arial"/>
                <w:sz w:val="24"/>
                <w:szCs w:val="24"/>
              </w:rPr>
              <w:t xml:space="preserve">Partners may have more suitable premises for service delivery and there are distinct benefits of sharing accommodation across the public sector. It is suggested that it is expedient to limit initial consideration to County Council premises to ensure deliverability however where possible within the required timescales this could be considered. </w:t>
            </w:r>
          </w:p>
          <w:p w:rsidR="00A21735" w:rsidRPr="009273CF" w:rsidRDefault="00A21735" w:rsidP="00A21735">
            <w:pPr>
              <w:pStyle w:val="NoSpacing"/>
              <w:numPr>
                <w:ilvl w:val="0"/>
                <w:numId w:val="5"/>
              </w:numPr>
              <w:jc w:val="both"/>
              <w:rPr>
                <w:rFonts w:ascii="Arial" w:hAnsi="Arial" w:cs="Arial"/>
                <w:sz w:val="24"/>
                <w:szCs w:val="24"/>
              </w:rPr>
            </w:pPr>
            <w:r w:rsidRPr="009273CF">
              <w:rPr>
                <w:rFonts w:ascii="Arial" w:hAnsi="Arial" w:cs="Arial"/>
                <w:sz w:val="24"/>
                <w:szCs w:val="24"/>
              </w:rPr>
              <w:t>Cultural identifiers – whilst the IMD measure in the proposed calculation would take travel horizons into account to some extent, the calculation would not allow for the fact that communities recognise and take ownership of places through cultural identifiers.  This can provide a barrier to needy communities in the ownership and access of services, and where possible this will be taken into account in making recommendations.</w:t>
            </w:r>
          </w:p>
          <w:p w:rsidR="00695983" w:rsidRPr="009273CF" w:rsidRDefault="00A21735" w:rsidP="00C639D7">
            <w:pPr>
              <w:pStyle w:val="NoSpacing"/>
              <w:numPr>
                <w:ilvl w:val="0"/>
                <w:numId w:val="5"/>
              </w:numPr>
              <w:jc w:val="both"/>
              <w:rPr>
                <w:rFonts w:ascii="Arial" w:hAnsi="Arial" w:cs="Arial"/>
                <w:sz w:val="24"/>
                <w:szCs w:val="24"/>
              </w:rPr>
            </w:pPr>
            <w:r w:rsidRPr="009273CF">
              <w:rPr>
                <w:rFonts w:ascii="Arial" w:hAnsi="Arial" w:cs="Arial"/>
                <w:sz w:val="24"/>
                <w:szCs w:val="24"/>
              </w:rPr>
              <w:t xml:space="preserve">Potential for capital receipt/development/alternative use. </w:t>
            </w:r>
          </w:p>
          <w:p w:rsidR="00E05C2F" w:rsidRPr="009273CF" w:rsidRDefault="00E05C2F" w:rsidP="006D4194">
            <w:pPr>
              <w:pStyle w:val="NoSpacing"/>
              <w:numPr>
                <w:ilvl w:val="0"/>
                <w:numId w:val="5"/>
              </w:numPr>
              <w:jc w:val="both"/>
              <w:rPr>
                <w:rFonts w:ascii="Arial" w:hAnsi="Arial" w:cs="Arial"/>
                <w:sz w:val="24"/>
                <w:szCs w:val="24"/>
              </w:rPr>
            </w:pPr>
            <w:r w:rsidRPr="009273CF">
              <w:rPr>
                <w:rFonts w:ascii="Arial" w:hAnsi="Arial" w:cs="Arial"/>
                <w:sz w:val="24"/>
                <w:szCs w:val="24"/>
              </w:rPr>
              <w:t>The county council</w:t>
            </w:r>
            <w:r w:rsidR="00960F94" w:rsidRPr="009273CF">
              <w:rPr>
                <w:rFonts w:ascii="Arial" w:hAnsi="Arial" w:cs="Arial"/>
                <w:sz w:val="24"/>
                <w:szCs w:val="24"/>
              </w:rPr>
              <w:t>'s</w:t>
            </w:r>
            <w:r w:rsidRPr="009273CF">
              <w:rPr>
                <w:rFonts w:ascii="Arial" w:hAnsi="Arial" w:cs="Arial"/>
                <w:sz w:val="24"/>
                <w:szCs w:val="24"/>
              </w:rPr>
              <w:t xml:space="preserve"> Access Budget may be able to address any accessibility issues. </w:t>
            </w:r>
          </w:p>
          <w:p w:rsidR="00020786" w:rsidRPr="00020786" w:rsidRDefault="00020786" w:rsidP="00993F64">
            <w:pPr>
              <w:rPr>
                <w:i/>
              </w:rPr>
            </w:pP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0D31C6" w:rsidRPr="00695983" w:rsidRDefault="000D31C6" w:rsidP="006D4194">
            <w:pPr>
              <w:outlineLvl w:val="0"/>
              <w:rPr>
                <w:sz w:val="24"/>
                <w:szCs w:val="24"/>
              </w:rPr>
            </w:pPr>
            <w:r w:rsidRPr="00695983">
              <w:rPr>
                <w:sz w:val="24"/>
                <w:szCs w:val="24"/>
              </w:rPr>
              <w:lastRenderedPageBreak/>
              <w:t xml:space="preserve">This proposal has emerged following the need for the County </w:t>
            </w:r>
            <w:r w:rsidR="00695983">
              <w:rPr>
                <w:sz w:val="24"/>
                <w:szCs w:val="24"/>
              </w:rPr>
              <w:t>C</w:t>
            </w:r>
            <w:r w:rsidRPr="00695983">
              <w:rPr>
                <w:sz w:val="24"/>
                <w:szCs w:val="24"/>
              </w:rPr>
              <w:t>ouncil t</w:t>
            </w:r>
            <w:r w:rsidR="00E61C58" w:rsidRPr="00695983">
              <w:rPr>
                <w:sz w:val="24"/>
                <w:szCs w:val="24"/>
              </w:rPr>
              <w:t>o make unprecedented budget savings</w:t>
            </w:r>
            <w:r w:rsidRPr="00695983">
              <w:rPr>
                <w:sz w:val="24"/>
                <w:szCs w:val="24"/>
              </w:rPr>
              <w:t xml:space="preserve">.  We acknowledge that </w:t>
            </w:r>
            <w:r w:rsidR="00695983">
              <w:rPr>
                <w:sz w:val="24"/>
                <w:szCs w:val="24"/>
              </w:rPr>
              <w:t xml:space="preserve">some protected characteristic </w:t>
            </w:r>
            <w:r w:rsidRPr="00695983">
              <w:rPr>
                <w:sz w:val="24"/>
                <w:szCs w:val="24"/>
              </w:rPr>
              <w:t xml:space="preserve">groups may be negatively affected however we will strive to minimise any negative impacts by developing as many mitigating actions as possible </w:t>
            </w:r>
            <w:r w:rsidR="00695983">
              <w:rPr>
                <w:sz w:val="24"/>
                <w:szCs w:val="24"/>
              </w:rPr>
              <w:t>and using the agreed methods of scoring and weighting</w:t>
            </w:r>
            <w:r w:rsidRPr="00695983">
              <w:rPr>
                <w:sz w:val="24"/>
                <w:szCs w:val="24"/>
              </w:rPr>
              <w:t>.</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695983" w:rsidRPr="00E3699C" w:rsidRDefault="00695983" w:rsidP="00695983">
            <w:pPr>
              <w:spacing w:after="0" w:line="240" w:lineRule="auto"/>
              <w:rPr>
                <w:rFonts w:eastAsia="Times New Roman"/>
                <w:sz w:val="24"/>
                <w:szCs w:val="20"/>
                <w:lang w:eastAsia="en-GB"/>
              </w:rPr>
            </w:pPr>
            <w:r>
              <w:rPr>
                <w:rFonts w:eastAsia="Times New Roman"/>
                <w:sz w:val="24"/>
                <w:szCs w:val="20"/>
                <w:lang w:eastAsia="en-GB"/>
              </w:rPr>
              <w:t xml:space="preserve">The </w:t>
            </w:r>
            <w:r w:rsidR="00844934">
              <w:rPr>
                <w:rFonts w:eastAsia="Times New Roman"/>
                <w:sz w:val="24"/>
                <w:szCs w:val="20"/>
                <w:lang w:eastAsia="en-GB"/>
              </w:rPr>
              <w:t>Property S</w:t>
            </w:r>
            <w:r w:rsidRPr="00E3699C">
              <w:rPr>
                <w:rFonts w:eastAsia="Times New Roman"/>
                <w:sz w:val="24"/>
                <w:szCs w:val="20"/>
                <w:lang w:eastAsia="en-GB"/>
              </w:rPr>
              <w:t xml:space="preserve">trategy </w:t>
            </w:r>
            <w:r w:rsidR="00844934">
              <w:rPr>
                <w:rFonts w:eastAsia="Times New Roman"/>
                <w:sz w:val="24"/>
                <w:szCs w:val="20"/>
                <w:lang w:eastAsia="en-GB"/>
              </w:rPr>
              <w:t>(Neighbourhood Centres) proposes a</w:t>
            </w:r>
            <w:r>
              <w:rPr>
                <w:rFonts w:eastAsia="Times New Roman"/>
                <w:sz w:val="24"/>
                <w:szCs w:val="20"/>
                <w:lang w:eastAsia="en-GB"/>
              </w:rPr>
              <w:t xml:space="preserve"> </w:t>
            </w:r>
            <w:r w:rsidRPr="00E3699C">
              <w:rPr>
                <w:rFonts w:eastAsia="Times New Roman"/>
                <w:sz w:val="24"/>
                <w:szCs w:val="20"/>
                <w:lang w:eastAsia="en-GB"/>
              </w:rPr>
              <w:t>r</w:t>
            </w:r>
            <w:r w:rsidR="006D4194">
              <w:rPr>
                <w:rFonts w:eastAsia="Times New Roman"/>
                <w:sz w:val="24"/>
                <w:szCs w:val="20"/>
                <w:lang w:eastAsia="en-GB"/>
              </w:rPr>
              <w:t>ationalis</w:t>
            </w:r>
            <w:r w:rsidR="00844934">
              <w:rPr>
                <w:rFonts w:eastAsia="Times New Roman"/>
                <w:sz w:val="24"/>
                <w:szCs w:val="20"/>
                <w:lang w:eastAsia="en-GB"/>
              </w:rPr>
              <w:t xml:space="preserve">ation of </w:t>
            </w:r>
            <w:r w:rsidRPr="00E3699C">
              <w:rPr>
                <w:rFonts w:eastAsia="Times New Roman"/>
                <w:sz w:val="24"/>
                <w:szCs w:val="20"/>
                <w:lang w:eastAsia="en-GB"/>
              </w:rPr>
              <w:t xml:space="preserve">the County Council's </w:t>
            </w:r>
            <w:r w:rsidR="006D4194">
              <w:rPr>
                <w:rFonts w:eastAsia="Times New Roman"/>
                <w:sz w:val="24"/>
                <w:szCs w:val="20"/>
                <w:lang w:eastAsia="en-GB"/>
              </w:rPr>
              <w:t>public facing service delivery portfolio</w:t>
            </w:r>
            <w:r w:rsidRPr="00E3699C">
              <w:rPr>
                <w:rFonts w:eastAsia="Times New Roman"/>
                <w:sz w:val="24"/>
                <w:szCs w:val="20"/>
                <w:lang w:eastAsia="en-GB"/>
              </w:rPr>
              <w:t xml:space="preserve"> </w:t>
            </w:r>
            <w:r w:rsidR="00844934">
              <w:rPr>
                <w:rFonts w:eastAsia="Times New Roman"/>
                <w:sz w:val="24"/>
                <w:szCs w:val="20"/>
                <w:lang w:eastAsia="en-GB"/>
              </w:rPr>
              <w:t xml:space="preserve">220 premises to 112 premises </w:t>
            </w:r>
            <w:r w:rsidRPr="00E3699C">
              <w:rPr>
                <w:rFonts w:eastAsia="Times New Roman"/>
                <w:sz w:val="24"/>
                <w:szCs w:val="20"/>
                <w:lang w:eastAsia="en-GB"/>
              </w:rPr>
              <w:t xml:space="preserve">and </w:t>
            </w:r>
            <w:r w:rsidR="00844934">
              <w:rPr>
                <w:rFonts w:eastAsia="Times New Roman"/>
                <w:sz w:val="24"/>
                <w:szCs w:val="20"/>
                <w:lang w:eastAsia="en-GB"/>
              </w:rPr>
              <w:t xml:space="preserve">outlines an initial methodology to ensure that recommendations regarding the future portfolio align with the Corporate Strategy and enable the future successful delivery of public facing services.  It is possible that all residents of Lancashire may in some way be affected, as the location of premises from which they access </w:t>
            </w:r>
            <w:r w:rsidR="00F25B82">
              <w:rPr>
                <w:rFonts w:eastAsia="Times New Roman"/>
                <w:sz w:val="24"/>
                <w:szCs w:val="20"/>
                <w:lang w:eastAsia="en-GB"/>
              </w:rPr>
              <w:t>the Council's services could</w:t>
            </w:r>
            <w:r w:rsidR="00844934">
              <w:rPr>
                <w:rFonts w:eastAsia="Times New Roman"/>
                <w:sz w:val="24"/>
                <w:szCs w:val="20"/>
                <w:lang w:eastAsia="en-GB"/>
              </w:rPr>
              <w:t xml:space="preserve"> change.</w:t>
            </w:r>
          </w:p>
          <w:p w:rsidR="00695983" w:rsidRPr="00E3699C" w:rsidRDefault="00695983" w:rsidP="00695983">
            <w:pPr>
              <w:spacing w:after="0" w:line="240" w:lineRule="auto"/>
              <w:rPr>
                <w:rFonts w:eastAsia="Times New Roman"/>
                <w:sz w:val="24"/>
                <w:szCs w:val="20"/>
                <w:lang w:eastAsia="en-GB"/>
              </w:rPr>
            </w:pPr>
          </w:p>
          <w:p w:rsidR="00993F64" w:rsidRDefault="00695983" w:rsidP="00695983">
            <w:pPr>
              <w:spacing w:after="0" w:line="240" w:lineRule="auto"/>
              <w:rPr>
                <w:sz w:val="24"/>
                <w:szCs w:val="24"/>
              </w:rPr>
            </w:pPr>
            <w:r>
              <w:rPr>
                <w:rFonts w:eastAsia="Times New Roman"/>
                <w:sz w:val="24"/>
                <w:szCs w:val="20"/>
                <w:lang w:eastAsia="en-GB"/>
              </w:rPr>
              <w:t xml:space="preserve">A review of the </w:t>
            </w:r>
            <w:r w:rsidRPr="00E3699C">
              <w:rPr>
                <w:rFonts w:eastAsia="Times New Roman"/>
                <w:sz w:val="24"/>
                <w:szCs w:val="20"/>
                <w:lang w:eastAsia="en-GB"/>
              </w:rPr>
              <w:t>evaluation of identified datasets and subsequent consultation of the recommendations for the final selection of premises to become Neighbourhood Centres</w:t>
            </w:r>
            <w:r w:rsidR="00844934">
              <w:rPr>
                <w:rFonts w:eastAsia="Times New Roman"/>
                <w:sz w:val="24"/>
                <w:szCs w:val="20"/>
                <w:lang w:eastAsia="en-GB"/>
              </w:rPr>
              <w:t xml:space="preserve"> is proposed</w:t>
            </w:r>
            <w:r>
              <w:rPr>
                <w:rFonts w:eastAsia="Times New Roman"/>
                <w:sz w:val="24"/>
                <w:szCs w:val="20"/>
                <w:lang w:eastAsia="en-GB"/>
              </w:rPr>
              <w:t>.</w:t>
            </w:r>
          </w:p>
          <w:p w:rsidR="00695983" w:rsidRDefault="00695983" w:rsidP="00695983">
            <w:pPr>
              <w:spacing w:after="0" w:line="240" w:lineRule="auto"/>
              <w:rPr>
                <w:sz w:val="24"/>
                <w:szCs w:val="24"/>
              </w:rPr>
            </w:pPr>
          </w:p>
          <w:p w:rsidR="00695983" w:rsidRDefault="00695983" w:rsidP="00695983">
            <w:pPr>
              <w:spacing w:after="0" w:line="240" w:lineRule="auto"/>
            </w:pPr>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520624" w:rsidRPr="00661EA4" w:rsidRDefault="00661EA4" w:rsidP="00661EA4">
            <w:pPr>
              <w:rPr>
                <w:color w:val="FF0000"/>
                <w:sz w:val="24"/>
                <w:szCs w:val="24"/>
              </w:rPr>
            </w:pPr>
            <w:r w:rsidRPr="009273CF">
              <w:rPr>
                <w:sz w:val="24"/>
                <w:szCs w:val="24"/>
              </w:rPr>
              <w:t>A</w:t>
            </w:r>
            <w:r w:rsidR="00520624" w:rsidRPr="009273CF">
              <w:rPr>
                <w:sz w:val="24"/>
                <w:szCs w:val="24"/>
              </w:rPr>
              <w:t>ppropriate monitoring procedures will be developed following the implementation of this proposal based on the relevant protected characteristics affected</w:t>
            </w:r>
            <w:r w:rsidR="009273CF">
              <w:rPr>
                <w:sz w:val="24"/>
                <w:szCs w:val="24"/>
              </w:rPr>
              <w:t>.</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661EA4">
        <w:t xml:space="preserve">Emma </w:t>
      </w:r>
      <w:r w:rsidR="001D3E2A">
        <w:t>Pearse</w:t>
      </w:r>
    </w:p>
    <w:p w:rsidR="00993F64" w:rsidRDefault="00993F64" w:rsidP="00993F64">
      <w:pPr>
        <w:outlineLvl w:val="0"/>
      </w:pPr>
      <w:r>
        <w:t>Position/Role</w:t>
      </w:r>
      <w:r w:rsidR="009273CF">
        <w:t>:</w:t>
      </w:r>
      <w:r>
        <w:t xml:space="preserve"> </w:t>
      </w:r>
      <w:r w:rsidR="009273CF">
        <w:t>Property Asset Manager (Review)</w:t>
      </w:r>
    </w:p>
    <w:p w:rsidR="00020786" w:rsidRDefault="00993F64" w:rsidP="00993F64">
      <w:pPr>
        <w:outlineLvl w:val="0"/>
      </w:pPr>
      <w:r>
        <w:t xml:space="preserve">Equality Analysis Endorsed by Line Manager and/or </w:t>
      </w:r>
      <w:r w:rsidR="00851203">
        <w:t>Service Head</w:t>
      </w:r>
      <w:r w:rsidR="009273CF">
        <w:t>:</w:t>
      </w:r>
    </w:p>
    <w:p w:rsidR="00993F64" w:rsidRPr="009273CF" w:rsidRDefault="00661EA4" w:rsidP="00993F64">
      <w:pPr>
        <w:outlineLvl w:val="0"/>
      </w:pPr>
      <w:r w:rsidRPr="009273CF">
        <w:t>Matthew Tidmarsh</w:t>
      </w:r>
      <w:r w:rsidR="009273CF">
        <w:t xml:space="preserve">  Head of Asset Management</w:t>
      </w: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BC3E83" w:rsidP="00993F64">
      <w:pPr>
        <w:outlineLvl w:val="0"/>
      </w:pPr>
      <w:hyperlink r:id="rId12" w:history="1">
        <w:r w:rsidR="00993F64" w:rsidRPr="00C91E9C">
          <w:rPr>
            <w:rStyle w:val="Hyperlink"/>
          </w:rPr>
          <w:t>Karen.beaumont@lancashire.gov.uk</w:t>
        </w:r>
      </w:hyperlink>
    </w:p>
    <w:p w:rsidR="00993F64" w:rsidRDefault="00993F64" w:rsidP="00993F64">
      <w:pPr>
        <w:outlineLvl w:val="0"/>
      </w:pPr>
      <w:r>
        <w:lastRenderedPageBreak/>
        <w:t xml:space="preserve">Contact for Adult Services </w:t>
      </w:r>
      <w:r w:rsidR="00851203">
        <w:t>; Policy Information and Commissioning (Age Well); Health Equity, Welfare and Partnerships (PH); Patient Safety and Quality Improvement (PH).</w:t>
      </w:r>
    </w:p>
    <w:p w:rsidR="00993F64" w:rsidRDefault="00993F64" w:rsidP="00993F64">
      <w:r>
        <w:t>Jeanette Binns – Equality &amp; Cohesion Manager</w:t>
      </w:r>
    </w:p>
    <w:p w:rsidR="00993F64" w:rsidRDefault="00BC3E83"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Saulo Cwerner – Equality &amp; Cohesion Manager</w:t>
      </w:r>
    </w:p>
    <w:p w:rsidR="00993F64" w:rsidRDefault="00BC3E83"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BC3E83"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AE" w:rsidRDefault="00DF5BAE" w:rsidP="00993F64">
      <w:pPr>
        <w:spacing w:after="0" w:line="240" w:lineRule="auto"/>
      </w:pPr>
      <w:r>
        <w:separator/>
      </w:r>
    </w:p>
  </w:endnote>
  <w:endnote w:type="continuationSeparator" w:id="0">
    <w:p w:rsidR="00DF5BAE" w:rsidRDefault="00DF5BAE"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851203">
    <w:pPr>
      <w:pStyle w:val="Footer"/>
      <w:jc w:val="center"/>
    </w:pPr>
    <w:r>
      <w:fldChar w:fldCharType="begin"/>
    </w:r>
    <w:r>
      <w:instrText xml:space="preserve"> PAGE   \* MERGEFORMAT </w:instrText>
    </w:r>
    <w:r>
      <w:fldChar w:fldCharType="separate"/>
    </w:r>
    <w:r w:rsidR="00BC3E83">
      <w:rPr>
        <w:noProof/>
      </w:rPr>
      <w:t>2</w:t>
    </w:r>
    <w:r>
      <w:rPr>
        <w:noProof/>
      </w:rPr>
      <w:fldChar w:fldCharType="end"/>
    </w:r>
  </w:p>
  <w:p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AE" w:rsidRDefault="00DF5BAE" w:rsidP="00993F64">
      <w:pPr>
        <w:spacing w:after="0" w:line="240" w:lineRule="auto"/>
      </w:pPr>
      <w:r>
        <w:separator/>
      </w:r>
    </w:p>
  </w:footnote>
  <w:footnote w:type="continuationSeparator" w:id="0">
    <w:p w:rsidR="00DF5BAE" w:rsidRDefault="00DF5BAE"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468A7"/>
    <w:multiLevelType w:val="hybridMultilevel"/>
    <w:tmpl w:val="52C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D0AC8"/>
    <w:multiLevelType w:val="hybridMultilevel"/>
    <w:tmpl w:val="3B4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04C15"/>
    <w:rsid w:val="00020786"/>
    <w:rsid w:val="000D31C6"/>
    <w:rsid w:val="00105992"/>
    <w:rsid w:val="00143978"/>
    <w:rsid w:val="00170EB9"/>
    <w:rsid w:val="001D3E2A"/>
    <w:rsid w:val="002B7C3F"/>
    <w:rsid w:val="0033216F"/>
    <w:rsid w:val="00430FDD"/>
    <w:rsid w:val="00434100"/>
    <w:rsid w:val="004572F3"/>
    <w:rsid w:val="00481474"/>
    <w:rsid w:val="00504583"/>
    <w:rsid w:val="00520624"/>
    <w:rsid w:val="005279F3"/>
    <w:rsid w:val="00585C8D"/>
    <w:rsid w:val="00661EA4"/>
    <w:rsid w:val="00695983"/>
    <w:rsid w:val="006C74EC"/>
    <w:rsid w:val="006D4194"/>
    <w:rsid w:val="006E4165"/>
    <w:rsid w:val="00742E96"/>
    <w:rsid w:val="0077387D"/>
    <w:rsid w:val="00781AE8"/>
    <w:rsid w:val="007E3FD0"/>
    <w:rsid w:val="00822924"/>
    <w:rsid w:val="00844934"/>
    <w:rsid w:val="00851203"/>
    <w:rsid w:val="008E67BA"/>
    <w:rsid w:val="009002AD"/>
    <w:rsid w:val="009273CF"/>
    <w:rsid w:val="00942C68"/>
    <w:rsid w:val="00960F94"/>
    <w:rsid w:val="00963B16"/>
    <w:rsid w:val="009838D0"/>
    <w:rsid w:val="00993F64"/>
    <w:rsid w:val="00A21735"/>
    <w:rsid w:val="00A8685A"/>
    <w:rsid w:val="00AD0BDD"/>
    <w:rsid w:val="00AF4C09"/>
    <w:rsid w:val="00B9093A"/>
    <w:rsid w:val="00BC3E83"/>
    <w:rsid w:val="00BE0A96"/>
    <w:rsid w:val="00BE6E22"/>
    <w:rsid w:val="00C244A4"/>
    <w:rsid w:val="00CD2CF9"/>
    <w:rsid w:val="00CF33C6"/>
    <w:rsid w:val="00D435C0"/>
    <w:rsid w:val="00D7665B"/>
    <w:rsid w:val="00DF5BAE"/>
    <w:rsid w:val="00E05C2F"/>
    <w:rsid w:val="00E61C58"/>
    <w:rsid w:val="00EC08B6"/>
    <w:rsid w:val="00EC582D"/>
    <w:rsid w:val="00F23596"/>
    <w:rsid w:val="00F25B82"/>
    <w:rsid w:val="00F51D8E"/>
    <w:rsid w:val="00FA5BC3"/>
    <w:rsid w:val="00FB51C2"/>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3216F"/>
    <w:rPr>
      <w:rFonts w:asciiTheme="minorHAnsi" w:eastAsiaTheme="minorHAnsi" w:hAnsiTheme="minorHAnsi" w:cstheme="minorBidi"/>
      <w:sz w:val="22"/>
      <w:szCs w:val="22"/>
      <w:lang w:eastAsia="en-US"/>
    </w:rPr>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F51D8E"/>
    <w:pPr>
      <w:ind w:left="720"/>
      <w:contextualSpacing/>
    </w:p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link w:val="ListParagraph"/>
    <w:uiPriority w:val="34"/>
    <w:locked/>
    <w:rsid w:val="00F51D8E"/>
    <w:rPr>
      <w:sz w:val="28"/>
      <w:szCs w:val="22"/>
      <w:lang w:eastAsia="en-US"/>
    </w:rPr>
  </w:style>
  <w:style w:type="paragraph" w:customStyle="1" w:styleId="Default">
    <w:name w:val="Default"/>
    <w:rsid w:val="00FF67B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3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F7F2-3E3D-472C-B403-0D020711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21143</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Mather, Chris</cp:lastModifiedBy>
  <cp:revision>2</cp:revision>
  <cp:lastPrinted>2011-11-09T13:19:00Z</cp:lastPrinted>
  <dcterms:created xsi:type="dcterms:W3CDTF">2015-11-13T16:27:00Z</dcterms:created>
  <dcterms:modified xsi:type="dcterms:W3CDTF">2015-11-13T16:27:00Z</dcterms:modified>
</cp:coreProperties>
</file>